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4"/>
          <w:szCs w:val="24"/>
          <w:u w:val="none"/>
          <w:shd w:fill="auto" w:val="clear"/>
          <w:vertAlign w:val="baseline"/>
          <w:rtl w:val="0"/>
        </w:rPr>
        <w:t xml:space="preserve">Приложение</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Памятка для иностранных граждан и лиц без гражданства о приеме в общеобразовательные организации с 1 апреля 2025 года</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T Astra Serif" w:cs="PT Astra Serif" w:eastAsia="PT Astra Serif" w:hAnsi="PT Astra Serif"/>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С</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w:t>
      </w: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1 апреля 2025 года</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1.</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в общеобразовательную организацию следующий </w:t>
      </w: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перечень документов</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копии документов, подтверждающих родство заявителя (заявителей) (или законность представления прав ребенка);</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6838" w:w="11906" w:orient="portrait"/>
          <w:pgMar w:bottom="1134" w:top="397" w:left="1701" w:right="850" w:header="720" w:footer="720"/>
          <w:pgNumType w:start="1"/>
        </w:sect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копии документов, подтверждающих осуществление родителем (законным представителем) трудовой деятельности (при наличии).</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Иностранные граждане и лица без гражданства </w:t>
      </w: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все документы представляют на русском языке или вместе с заверенным в установленном порядке переводом на русский язык</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2.</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Родители и законные представители имеющего иностранное гражданство ребенка, которые являются аккредитованными при </w:t>
      </w: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МИД России</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сотрудниками (или их супругами) иностранных посольств, консульств, международных организаций и их представительств, что подтверждается Департаментом государственного протокола МИД России или территориальными представительствами МИД России в субъектах Российской Федерации, подают следующие документы:</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копию свидетельства о рождении ребенка;</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копию паспорта;</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справку о регистрации по месту жительства.</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3. К гражданам Белоруссии требования как иностранным гражданам не применяются</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4.</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Документы подаются </w:t>
      </w: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одним из следующих способов</w:t>
        <w:br w:type="textWrapping"/>
        <w:t xml:space="preserve">(исключена личная подача в общеобразовательную организацию!!!)</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1) в электронной форме посредством </w:t>
      </w:r>
      <w:hyperlink r:id="rId6">
        <w:r w:rsidDel="00000000" w:rsidR="00000000" w:rsidRPr="00000000">
          <w:rPr>
            <w:rFonts w:ascii="PT Astra Serif" w:cs="PT Astra Serif" w:eastAsia="PT Astra Serif" w:hAnsi="PT Astra Serif"/>
            <w:b w:val="0"/>
            <w:i w:val="0"/>
            <w:smallCaps w:val="0"/>
            <w:strike w:val="0"/>
            <w:color w:val="000080"/>
            <w:sz w:val="28"/>
            <w:szCs w:val="28"/>
            <w:u w:val="single"/>
            <w:shd w:fill="auto" w:val="clear"/>
            <w:vertAlign w:val="baseline"/>
            <w:rtl w:val="0"/>
          </w:rPr>
          <w:t xml:space="preserve">ЕПГУ</w:t>
        </w:r>
      </w:hyperlink>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2)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3) через операторов почтовой связи общего пользования заказным письмом с уведомлением о вручении.</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В течение 5 рабочих дней</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общеобразовательная организация проводит проверку </w:t>
      </w: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комплектности документов</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В случае представления неполного комплекта документов общеобразовательная организация возвращает заявление без его рассмотрения;</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В случае представления полного комплекта документов общеобразовательная организация </w:t>
      </w: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в течение 25 рабочих дней</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осуществляет </w:t>
      </w: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проверку достоверности</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предоставленных документов. Для этого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В случае представления полного комплекта документов и со дня подтверждения их достоверности ребенок  </w:t>
      </w: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направляется</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общеобразовательной организацией в государственную или муниципальную общеобразовательную организацию (далее - Тестирующая организация) для </w:t>
      </w: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прохождения тестирования на знание русского языка</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достаточное для освоения образовательных программ начального общего, основного общего и среднего общего образования (далее — тестирование).</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Информация о направлении на тестирование ребенка направляется по адресу (почтовый или электронный), указанному в заявлении о приеме на обучение, и в личный кабинет ЕПГУ (при наличии).</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5.</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w:t>
      </w: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Взаимодействия с Тестирующей организацией</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родитель (родители) (законный (законные) представитель (представители) ребенка, </w:t>
      </w: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обращается (обращаются) лично</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в Тестирующую организацию для записи на тестирование </w:t>
      </w: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не позднее чем через 7 рабочих дней после дня получения направления </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из общеобразовательной организации, куда поданы документы;</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тестирование проводится согласно расписанию в Тестирующей организации;</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w:t>
      </w: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сведения о результатах тестирования</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передаются Тестирующей организацией </w:t>
      </w: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в общеобразовательную организацию</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в которую иностранный гражданин подал заявление о приеме на обучение с использованием </w:t>
      </w:r>
      <w:hyperlink r:id="rId7">
        <w:r w:rsidDel="00000000" w:rsidR="00000000" w:rsidRPr="00000000">
          <w:rPr>
            <w:rFonts w:ascii="PT Astra Serif" w:cs="PT Astra Serif" w:eastAsia="PT Astra Serif" w:hAnsi="PT Astra Serif"/>
            <w:b w:val="0"/>
            <w:i w:val="0"/>
            <w:smallCaps w:val="0"/>
            <w:strike w:val="0"/>
            <w:color w:val="000000"/>
            <w:sz w:val="28"/>
            <w:szCs w:val="28"/>
            <w:u w:val="single"/>
            <w:shd w:fill="auto" w:val="clear"/>
            <w:vertAlign w:val="baseline"/>
            <w:rtl w:val="0"/>
          </w:rPr>
          <w:t xml:space="preserve">ЕПГУ</w:t>
        </w:r>
      </w:hyperlink>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и (или) РПГУ, </w:t>
      </w: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в течение 3 рабочих дней со дня прохождения тестирования</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Информация </w:t>
      </w: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о результатах тестирования и рассмотрения заявления</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о приеме на обучение ребенка </w:t>
      </w: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общеобразовательной организацией</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направляется по адресу (почтовый или электронный), указанному в заявлении о приеме на обучение, и в личный кабинет ЕПГУ (при наличии).</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PT Astra Serif" w:cs="PT Astra Serif" w:eastAsia="PT Astra Serif" w:hAnsi="PT Astra Serif"/>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3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T Astra Serif" w:cs="PT Astra Serif" w:eastAsia="PT Astra Serif" w:hAnsi="PT Astra Serif"/>
          <w:b w:val="1"/>
          <w:i w:val="1"/>
          <w:smallCaps w:val="0"/>
          <w:strike w:val="0"/>
          <w:color w:val="000000"/>
          <w:sz w:val="28"/>
          <w:szCs w:val="28"/>
          <w:u w:val="single"/>
          <w:shd w:fill="auto" w:val="clear"/>
          <w:vertAlign w:val="baseline"/>
          <w:rtl w:val="0"/>
        </w:rPr>
        <w:t xml:space="preserve">Рекомендуем:</w:t>
      </w:r>
      <w:r w:rsidDel="00000000" w:rsidR="00000000" w:rsidRPr="00000000">
        <w:rPr>
          <w:rFonts w:ascii="PT Astra Serif" w:cs="PT Astra Serif" w:eastAsia="PT Astra Serif" w:hAnsi="PT Astra Serif"/>
          <w:b w:val="0"/>
          <w:i w:val="0"/>
          <w:smallCaps w:val="0"/>
          <w:strike w:val="0"/>
          <w:color w:val="000000"/>
          <w:sz w:val="28"/>
          <w:szCs w:val="28"/>
          <w:u w:val="none"/>
          <w:shd w:fill="auto" w:val="clear"/>
          <w:vertAlign w:val="baseline"/>
          <w:rtl w:val="0"/>
        </w:rPr>
        <w:t xml:space="preserve"> </w:t>
      </w:r>
      <w:r w:rsidDel="00000000" w:rsidR="00000000" w:rsidRPr="00000000">
        <w:rPr>
          <w:rFonts w:ascii="PT Astra Serif" w:cs="PT Astra Serif" w:eastAsia="PT Astra Serif" w:hAnsi="PT Astra Serif"/>
          <w:b w:val="1"/>
          <w:i w:val="0"/>
          <w:smallCaps w:val="0"/>
          <w:strike w:val="0"/>
          <w:color w:val="000000"/>
          <w:sz w:val="28"/>
          <w:szCs w:val="28"/>
          <w:u w:val="none"/>
          <w:shd w:fill="auto" w:val="clear"/>
          <w:vertAlign w:val="baseline"/>
          <w:rtl w:val="0"/>
        </w:rPr>
        <w:t xml:space="preserve">разместить ссылки на приказы Министерства просвещения  Российской Федерации от 4 марта 2025 года №№ 170, 171.</w:t>
      </w:r>
      <w:r w:rsidDel="00000000" w:rsidR="00000000" w:rsidRPr="00000000">
        <w:rPr>
          <w:rtl w:val="0"/>
        </w:rPr>
      </w:r>
    </w:p>
    <w:sectPr>
      <w:headerReference r:id="rId8" w:type="default"/>
      <w:headerReference r:id="rId9" w:type="first"/>
      <w:type w:val="nextPage"/>
      <w:pgSz w:h="16838" w:w="11906" w:orient="portrait"/>
      <w:pgMar w:bottom="509" w:top="1693" w:left="1134" w:right="1134" w:header="1134"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PT Astra Serif"/>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gosuslugi.ru/" TargetMode="External"/><Relationship Id="rId7" Type="http://schemas.openxmlformats.org/officeDocument/2006/relationships/hyperlink" Target="https://www.gosuslugi.ru/"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